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8E" w:rsidRDefault="00F537F0" w:rsidP="00F8405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-30480</wp:posOffset>
            </wp:positionV>
            <wp:extent cx="1257300" cy="914400"/>
            <wp:effectExtent l="19050" t="0" r="0" b="0"/>
            <wp:wrapNone/>
            <wp:docPr id="1" name="Image 28" descr="Description : 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8" descr="Description : 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7620</wp:posOffset>
            </wp:positionV>
            <wp:extent cx="1238250" cy="914400"/>
            <wp:effectExtent l="19050" t="0" r="0" b="0"/>
            <wp:wrapNone/>
            <wp:docPr id="2" name="Image2" descr="Description : 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Description : 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E2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</w:t>
      </w:r>
      <w:r w:rsidR="00B16E2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لجمهورية الجزائرية الديمقراطية الشعبية</w:t>
      </w:r>
    </w:p>
    <w:p w:rsidR="007F0D8E" w:rsidRDefault="00B16E26" w:rsidP="00F8405C">
      <w:pPr>
        <w:tabs>
          <w:tab w:val="left" w:pos="840"/>
          <w:tab w:val="left" w:pos="1244"/>
          <w:tab w:val="center" w:pos="7002"/>
        </w:tabs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وزارة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7F0D8E" w:rsidRDefault="00B16E26">
      <w:pPr>
        <w:tabs>
          <w:tab w:val="left" w:pos="840"/>
          <w:tab w:val="left" w:pos="1244"/>
          <w:tab w:val="center" w:pos="7002"/>
          <w:tab w:val="left" w:pos="12484"/>
        </w:tabs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جامـعة ابن خلـدون –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تيـارت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</w:p>
    <w:p w:rsidR="007F0D8E" w:rsidRDefault="00B16E26" w:rsidP="00F8405C">
      <w:pPr>
        <w:tabs>
          <w:tab w:val="left" w:pos="840"/>
          <w:tab w:val="left" w:pos="1244"/>
          <w:tab w:val="center" w:pos="7002"/>
          <w:tab w:val="left" w:pos="12484"/>
        </w:tabs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كلية الآداب واللغـــــات</w:t>
      </w:r>
    </w:p>
    <w:p w:rsidR="007F0D8E" w:rsidRDefault="00B16E26" w:rsidP="00F8405C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قسم اللغة والأدب العربي</w:t>
      </w:r>
    </w:p>
    <w:p w:rsidR="007F0D8E" w:rsidRDefault="00B16E26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</w:rPr>
      </w:pPr>
      <w:r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 xml:space="preserve">تقرير خاص بتصحيح مذكرة </w:t>
      </w:r>
      <w:proofErr w:type="spellStart"/>
      <w:r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الـماستر</w:t>
      </w:r>
      <w:proofErr w:type="spellEnd"/>
    </w:p>
    <w:p w:rsidR="00F8405C" w:rsidRDefault="00F8405C" w:rsidP="00F8405C">
      <w:pPr>
        <w:spacing w:after="0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</w:t>
      </w:r>
      <w:proofErr w:type="gramStart"/>
      <w:r w:rsidR="00B16E26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="00B16E26">
        <w:rPr>
          <w:rFonts w:ascii="Traditional Arabic" w:hAnsi="Traditional Arabic" w:cs="Traditional Arabic"/>
          <w:b/>
          <w:bCs/>
          <w:sz w:val="32"/>
          <w:szCs w:val="32"/>
          <w:rtl/>
        </w:rPr>
        <w:t>يشهد</w:t>
      </w:r>
      <w:proofErr w:type="gramEnd"/>
      <w:r w:rsidR="00B16E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الدّكتور</w:t>
      </w:r>
    </w:p>
    <w:p w:rsidR="007F0D8E" w:rsidRDefault="00B16E26" w:rsidP="00F8405C">
      <w:pPr>
        <w:spacing w:after="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رئيس لجنة المناقشة، أنَّ المذكًّرة الموسومة</w:t>
      </w:r>
      <w:r w:rsidR="00F840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F8405C">
        <w:rPr>
          <w:rFonts w:ascii="Traditional Arabic" w:hAnsi="Traditional Arabic" w:cs="Traditional Arabic" w:hint="cs"/>
          <w:sz w:val="32"/>
          <w:szCs w:val="32"/>
          <w:rtl/>
        </w:rPr>
        <w:t>بــــ</w:t>
      </w:r>
      <w:proofErr w:type="spellEnd"/>
      <w:proofErr w:type="gramStart"/>
      <w:r w:rsidR="00F8405C">
        <w:rPr>
          <w:rFonts w:ascii="Traditional Arabic" w:hAnsi="Traditional Arabic" w:cs="Traditional Arabic" w:hint="cs"/>
          <w:sz w:val="32"/>
          <w:szCs w:val="32"/>
          <w:rtl/>
        </w:rPr>
        <w:t>:.</w:t>
      </w:r>
      <w:proofErr w:type="gramEnd"/>
      <w:r w:rsidR="00F8405C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</w:t>
      </w:r>
    </w:p>
    <w:p w:rsidR="00C65C8E" w:rsidRDefault="00DA5291" w:rsidP="00C65C8E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من إعداد الطّالبين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  </w:t>
      </w:r>
      <w:r w:rsidR="00C65C8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1-..........................</w:t>
      </w:r>
    </w:p>
    <w:p w:rsidR="007F0D8E" w:rsidRPr="00C65C8E" w:rsidRDefault="00C65C8E" w:rsidP="00C65C8E">
      <w:pPr>
        <w:bidi/>
        <w:spacing w:after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2-...........................</w:t>
      </w:r>
    </w:p>
    <w:p w:rsidR="007F0D8E" w:rsidRDefault="00B16E26" w:rsidP="00F8405C">
      <w:pPr>
        <w:spacing w:after="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قد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صحّحت بناءً على التَّوجيهات التي قدَّمتها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اللَّجن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 المناقشة المكوَّنة من</w:t>
      </w:r>
      <w:r w:rsidR="00F840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7F0D8E" w:rsidRDefault="00B16E26">
      <w:pPr>
        <w:spacing w:after="0"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................................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: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اللَّجن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</w:t>
      </w:r>
    </w:p>
    <w:p w:rsidR="007F0D8E" w:rsidRDefault="00B16E26">
      <w:pPr>
        <w:spacing w:after="0"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الأستاذ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المشرف</w:t>
      </w:r>
    </w:p>
    <w:p w:rsidR="007F0D8E" w:rsidRDefault="00B16E26">
      <w:pPr>
        <w:spacing w:after="0"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الأستاذ المناقش</w:t>
      </w:r>
    </w:p>
    <w:p w:rsidR="007F0D8E" w:rsidRDefault="00B16E26" w:rsidP="00F8405C">
      <w:pPr>
        <w:spacing w:after="0"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وتبعاً لهذا 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فإنَّ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النُّسخة النّهائية للمذكّرة قابلة لإيداعها لدى مكتب الكلَّية</w:t>
      </w:r>
      <w:r w:rsidR="00F840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7F0D8E" w:rsidRDefault="00B16E26" w:rsidP="00F8405C">
      <w:pPr>
        <w:spacing w:after="0"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ملاحظة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/>
          <w:sz w:val="40"/>
          <w:szCs w:val="40"/>
          <w:rtl/>
          <w:lang w:bidi="ar-DZ"/>
        </w:rPr>
        <w:t>لا يمكن للطَّالب إيداع مذكرته في المكتبة ولا يمكنه استلام شهادته النَّهائية ،ولا كشوف النَّقاط، بدون تسليم هذه الوثيقة موقَّعة  من طرف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رئيس لجنة المناقشة، كما توقع </w:t>
      </w:r>
      <w:r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هذه الوثيقة من طرف </w:t>
      </w:r>
      <w:proofErr w:type="spellStart"/>
      <w:r>
        <w:rPr>
          <w:rFonts w:ascii="Traditional Arabic" w:hAnsi="Traditional Arabic" w:cs="Traditional Arabic"/>
          <w:sz w:val="40"/>
          <w:szCs w:val="40"/>
          <w:rtl/>
          <w:lang w:bidi="ar-DZ"/>
        </w:rPr>
        <w:t>مسؤول</w:t>
      </w:r>
      <w:proofErr w:type="spellEnd"/>
      <w:r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المكتبة وبعدها تسلَّم إلى مصلحتنا بنيابة القسم لما بعد التدرُّج</w:t>
      </w:r>
      <w:r w:rsidR="00F8405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7F0D8E" w:rsidRDefault="00B16E26">
      <w:pPr>
        <w:spacing w:after="0"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رئيس اللَّجنة                  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مسؤول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المكتبة               مساعد رئيس القسم لما بعد التدرُّج</w:t>
      </w:r>
    </w:p>
    <w:sectPr w:rsidR="007F0D8E" w:rsidSect="007F0D8E">
      <w:pgSz w:w="11906" w:h="16838"/>
      <w:pgMar w:top="993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F0D8E"/>
    <w:rsid w:val="00063181"/>
    <w:rsid w:val="007F0D8E"/>
    <w:rsid w:val="009F00DC"/>
    <w:rsid w:val="00B16E26"/>
    <w:rsid w:val="00C65C8E"/>
    <w:rsid w:val="00DA5291"/>
    <w:rsid w:val="00F537F0"/>
    <w:rsid w:val="00F8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2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7F0D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7F0D8E"/>
    <w:pPr>
      <w:spacing w:after="140"/>
    </w:pPr>
  </w:style>
  <w:style w:type="paragraph" w:styleId="Liste">
    <w:name w:val="List"/>
    <w:basedOn w:val="Corpsdetexte"/>
    <w:rsid w:val="007F0D8E"/>
    <w:rPr>
      <w:rFonts w:cs="Lucida Sans"/>
    </w:rPr>
  </w:style>
  <w:style w:type="paragraph" w:customStyle="1" w:styleId="Caption">
    <w:name w:val="Caption"/>
    <w:basedOn w:val="Normal"/>
    <w:qFormat/>
    <w:rsid w:val="007F0D8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F0D8E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45C8-B4F6-4E37-848E-FCAF8659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Lenovo</cp:lastModifiedBy>
  <cp:revision>154</cp:revision>
  <cp:lastPrinted>2024-05-05T08:44:00Z</cp:lastPrinted>
  <dcterms:created xsi:type="dcterms:W3CDTF">2022-06-26T07:48:00Z</dcterms:created>
  <dcterms:modified xsi:type="dcterms:W3CDTF">2024-05-06T09:23:00Z</dcterms:modified>
  <dc:language>en-US</dc:language>
</cp:coreProperties>
</file>